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Service Agreement Review Note: Sharma Traders &amp; Gupta Electricals</w:t>
      </w:r>
    </w:p>
    <w:p>
      <w:pPr>
        <w:pStyle w:val="Caption"/>
      </w:pPr>
      <w:r>
        <w:rPr>
          <w:b/>
        </w:rPr>
        <w:t xml:space="preserve">Prepared for: </w:t>
      </w:r>
      <w:r>
        <w:t>Legal and Operations Management</w:t>
      </w:r>
    </w:p>
    <w:p>
      <w:pPr>
        <w:pStyle w:val="Heading1"/>
        <w:keepNext/>
      </w:pPr>
      <w:r>
        <w:t>Contractual Overview and Key Terms</w:t>
      </w:r>
    </w:p>
    <w:p>
      <w:pPr/>
      <w:r>
        <w:t>This review note summarizes the Service Agreement established between Sharma Traders and Gupta Electricals. The primary objective of this contract is to provide comprehensive electrical maintenance services at the Client's warehouse facility. The agreement is structured as a long-term service commitment designed to ensure operational continuity for the client's infrastructure.</w:t>
      </w:r>
    </w:p>
    <w:p>
      <w:pPr/>
      <w:r>
        <w:t>The engagement is scheduled for an initial term of 12 months, commencing on October 1, 2026. A significant provision within the contract is the automatic renewal clause, which ensures that the service relationship continues beyond the initial period unless formal action is taken. To facilitate a structured exit or modification, both parties must provide a minimum of 90 days' notice prior to termination.</w:t>
      </w:r>
    </w:p>
    <w:p>
      <w:pPr/>
      <w:r>
        <w:t>Financial obligations under this agreement are divided into two distinct categories: an annual service fee and a daily penalty structure. The primary recurring cost for the services rendered is set at Rs 2,40,000 per year. This fixed amount covers the standard maintenance scope defined in the agreement. However, specific performance metrics regarding punctuality are tied to a variable daily rate.</w:t>
      </w:r>
    </w:p>
    <w:p>
      <w:pPr/>
      <w:r>
        <w:t>An identified risk factor involves the penalty for late visits by the Contractor. The agreement stipulates that any delay in scheduled maintenance visits will incur a cost of Rs 5,000 per day. It is important to note that there is no specified upper limit or cap on these cumulative penalties. This creates a significant financial liability for Gupta Electricals should logistical delays occur frequently during the contract term.</w:t>
      </w:r>
    </w:p>
    <w:tbl>
      <w:tblPr>
        <w:tblStyle w:val="TableGrid"/>
        <w:tblW w:type="auto" w:w="0"/>
        <w:tblLook w:firstColumn="1" w:firstRow="1" w:lastColumn="0" w:lastRow="0" w:noHBand="0" w:noVBand="1" w:val="04A0"/>
      </w:tblPr>
      <w:tblGrid>
        <w:gridCol w:w="4945"/>
        <w:gridCol w:w="4945"/>
      </w:tblGrid>
      <w:tr>
        <w:trPr>
          <w:tblHeader/>
        </w:trPr>
        <w:tc>
          <w:tcPr>
            <w:tcW w:type="dxa" w:w="4945"/>
            <w:shd w:fill="124E66"/>
          </w:tcPr>
          <w:p>
            <w:pPr>
              <w:pStyle w:val="TableHeader"/>
            </w:pPr>
            <w:r>
              <w:t>Category</w:t>
            </w:r>
          </w:p>
        </w:tc>
        <w:tc>
          <w:tcPr>
            <w:tcW w:type="dxa" w:w="4945"/>
            <w:shd w:fill="124E66"/>
          </w:tcPr>
          <w:p>
            <w:pPr>
              <w:pStyle w:val="TableHeader"/>
            </w:pPr>
            <w:r>
              <w:t>Details</w:t>
            </w:r>
          </w:p>
        </w:tc>
      </w:tr>
      <w:tr>
        <w:tc>
          <w:tcPr>
            <w:tcW w:type="dxa" w:w="4945"/>
          </w:tcPr>
          <w:p>
            <w:pPr>
              <w:pStyle w:val="TableBody"/>
            </w:pPr>
            <w:r/>
            <w:r>
              <w:t>Parties Involved</w:t>
            </w:r>
          </w:p>
        </w:tc>
        <w:tc>
          <w:tcPr>
            <w:tcW w:type="dxa" w:w="4945"/>
          </w:tcPr>
          <w:p>
            <w:pPr>
              <w:pStyle w:val="TableBody"/>
            </w:pPr>
            <w:r/>
            <w:r>
              <w:t>Sharma Traders and Gupta Electricals</w:t>
            </w:r>
          </w:p>
        </w:tc>
      </w:tr>
      <w:tr>
        <w:tc>
          <w:tcPr>
            <w:tcW w:type="dxa" w:w="4945"/>
            <w:shd w:fill="FFFFFF"/>
          </w:tcPr>
          <w:p>
            <w:pPr>
              <w:pStyle w:val="TableBody"/>
            </w:pPr>
            <w:r/>
            <w:r>
              <w:t>Effective Date</w:t>
            </w:r>
          </w:p>
        </w:tc>
        <w:tc>
          <w:tcPr>
            <w:tcW w:type="dxa" w:w="4945"/>
            <w:shd w:fill="FFFFFF"/>
          </w:tcPr>
          <w:p>
            <w:pPr>
              <w:pStyle w:val="TableBody"/>
            </w:pPr>
            <w:r/>
            <w:r>
              <w:t>01-10-2026</w:t>
            </w:r>
          </w:p>
        </w:tc>
      </w:tr>
      <w:tr>
        <w:tc>
          <w:tcPr>
            <w:tcW w:type="dxa" w:w="4945"/>
          </w:tcPr>
          <w:p>
            <w:pPr>
              <w:pStyle w:val="TableBody"/>
            </w:pPr>
            <w:r/>
            <w:r>
              <w:t>Annual Service Fee</w:t>
            </w:r>
          </w:p>
        </w:tc>
        <w:tc>
          <w:tcPr>
            <w:tcW w:type="dxa" w:w="4945"/>
          </w:tcPr>
          <w:p>
            <w:pPr>
              <w:pStyle w:val="TableBody"/>
            </w:pPr>
            <w:r/>
            <w:r>
              <w:t>Rs 2,40,000 per year</w:t>
            </w:r>
          </w:p>
        </w:tc>
      </w:tr>
      <w:tr>
        <w:tc>
          <w:tcPr>
            <w:tcW w:type="dxa" w:w="4945"/>
            <w:shd w:fill="FFFFFF"/>
          </w:tcPr>
          <w:p>
            <w:pPr>
              <w:pStyle w:val="TableBody"/>
            </w:pPr>
            <w:r/>
            <w:r>
              <w:t>Late Visit Penalty</w:t>
            </w:r>
          </w:p>
        </w:tc>
        <w:tc>
          <w:tcPr>
            <w:tcW w:type="dxa" w:w="4945"/>
            <w:shd w:fill="FFFFFF"/>
          </w:tcPr>
          <w:p>
            <w:pPr>
              <w:pStyle w:val="TableBody"/>
            </w:pPr>
            <w:r/>
            <w:r>
              <w:t>Rs 5,000 per day (No upper limit)</w:t>
            </w:r>
          </w:p>
        </w:tc>
      </w:tr>
      <w:tr>
        <w:tc>
          <w:tcPr>
            <w:tcW w:type="dxa" w:w="4945"/>
          </w:tcPr>
          <w:p>
            <w:pPr>
              <w:pStyle w:val="TableBody"/>
            </w:pPr>
            <w:r/>
            <w:r>
              <w:t>Termination Notice</w:t>
            </w:r>
          </w:p>
        </w:tc>
        <w:tc>
          <w:tcPr>
            <w:tcW w:type="dxa" w:w="4945"/>
          </w:tcPr>
          <w:p>
            <w:pPr>
              <w:pStyle w:val="TableBody"/>
            </w:pPr>
            <w:r/>
            <w:r>
              <w:t>90 days</w:t>
            </w:r>
          </w:p>
        </w:tc>
      </w:tr>
    </w:tbl>
    <w:sectPr w:rsidR="00FC693F" w:rsidRPr="0006063C" w:rsidSect="00034616">
      <w:headerReference w:type="default" r:id="rId9"/>
      <w:footerReference w:type="default" r:id="rId10"/>
      <w:pgSz w:w="11906" w:h="16838"/>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jc w:val="right"/>
    </w:pPr>
    <w:r>
      <w:t>Service Agreement Review Note: Sharma Traders &amp; Gupta Electricals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Nirmala U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76" w:lineRule="auto"/>
    </w:pPr>
    <w:rPr>
      <w:rFonts w:ascii="Calibri" w:hAnsi="Calibri" w:cs="Nirmala U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Nirmala UI"/>
      <w:b/>
      <w:bCs/>
      <w:color w:val="124E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Nirmala UI"/>
      <w:b/>
      <w:bCs/>
      <w:color w:val="124E6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Nirmala UI"/>
      <w:b/>
      <w:bCs/>
      <w:color w:val="124E6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Nirmala U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Nirmala U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Nirmala U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Nirmala U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Nirmala U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Nirmala U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Nirmala U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Nirmala U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Nirmala U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Calibri" w:hAnsi="Calibri" w:eastAsia="Calibri" w:cs="Nirmala UI"/>
      <w:color w:val="000000"/>
      <w:spacing w:val="5"/>
      <w:kern w:val="28"/>
      <w:sz w:val="44"/>
      <w:szCs w:val="52"/>
    </w:rPr>
  </w:style>
  <w:style w:type="character" w:customStyle="1" w:styleId="TitleChar">
    <w:name w:val="Title Char"/>
    <w:basedOn w:val="DefaultParagraphFont"/>
    <w:link w:val="Title"/>
    <w:uiPriority w:val="10"/>
    <w:rsid w:val="00FC693F"/>
    <w:rPr>
      <w:rFonts w:ascii="Calibri" w:hAnsi="Calibri" w:eastAsia="Calibri" w:cs="Nirmala U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Nirmala U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Nirmala U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New" w:hAnsi="Courier New" w:cs="Nirmala UI"/>
      <w:sz w:val="20"/>
      <w:szCs w:val="20"/>
    </w:rPr>
  </w:style>
  <w:style w:type="character" w:customStyle="1" w:styleId="MacroTextChar">
    <w:name w:val="Macro Text Char"/>
    <w:basedOn w:val="DefaultParagraphFont"/>
    <w:link w:val="MacroText"/>
    <w:uiPriority w:val="99"/>
    <w:rsid w:val="0029639D"/>
    <w:rPr>
      <w:rFonts w:ascii="Courier New" w:hAnsi="Courier New" w:cs="Nirmala U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Nirmala U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Nirmala U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Nirmala U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Nirmala U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Nirmala U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Nirmala U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cs="Nirmala UI"/>
      <w:b w:val="0"/>
      <w:bCs/>
      <w:color w:val="5F6B73"/>
      <w:sz w:val="16"/>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Nirmala U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Nirmala U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Nirmala UI"/>
        <w:b/>
        <w:bCs/>
      </w:rPr>
    </w:tblStylePr>
    <w:tblStylePr w:type="lastCol">
      <w:rPr>
        <w:rFonts w:ascii="Calibri" w:hAnsi="Calibri" w:eastAsia="Calibri" w:cs="Nirmala U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Nirmala U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Nirmala U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Nirmala UI"/>
        <w:b/>
        <w:bCs/>
      </w:rPr>
    </w:tblStylePr>
    <w:tblStylePr w:type="lastCol">
      <w:rPr>
        <w:rFonts w:ascii="Calibri" w:hAnsi="Calibri" w:eastAsia="Calibri" w:cs="Nirmala U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Nirmala U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Nirmala U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Nirmala UI"/>
        <w:b/>
        <w:bCs/>
      </w:rPr>
    </w:tblStylePr>
    <w:tblStylePr w:type="lastCol">
      <w:rPr>
        <w:rFonts w:ascii="Calibri" w:hAnsi="Calibri" w:eastAsia="Calibri" w:cs="Nirmala U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Nirmala U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Nirmala U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Nirmala UI"/>
        <w:b/>
        <w:bCs/>
      </w:rPr>
    </w:tblStylePr>
    <w:tblStylePr w:type="lastCol">
      <w:rPr>
        <w:rFonts w:ascii="Calibri" w:hAnsi="Calibri" w:eastAsia="Calibri" w:cs="Nirmala U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Nirmala U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Nirmala U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Nirmala UI"/>
        <w:b/>
        <w:bCs/>
      </w:rPr>
    </w:tblStylePr>
    <w:tblStylePr w:type="lastCol">
      <w:rPr>
        <w:rFonts w:ascii="Calibri" w:hAnsi="Calibri" w:eastAsia="Calibri" w:cs="Nirmala U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Nirmala U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Nirmala U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Nirmala UI"/>
        <w:b/>
        <w:bCs/>
      </w:rPr>
    </w:tblStylePr>
    <w:tblStylePr w:type="lastCol">
      <w:rPr>
        <w:rFonts w:ascii="Calibri" w:hAnsi="Calibri" w:eastAsia="Calibri" w:cs="Nirmala U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Nirmala U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Nirmala U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Nirmala UI"/>
        <w:b/>
        <w:bCs/>
      </w:rPr>
    </w:tblStylePr>
    <w:tblStylePr w:type="lastCol">
      <w:rPr>
        <w:rFonts w:ascii="Calibri" w:hAnsi="Calibri" w:eastAsia="Calibri" w:cs="Nirmala U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Nirmala U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Nirmala U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Nirmala U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Nirmala U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Nirmala U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Nirmala U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Nirmala U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factTitle">
    <w:name w:val="Artifact Title"/>
    <w:rPr>
      <w:rFonts w:ascii="Calibri" w:hAnsi="Calibri" w:cs="Nirmala UI"/>
      <w:b/>
      <w:color w:val="124E66"/>
      <w:sz w:val="56"/>
    </w:rPr>
  </w:style>
  <w:style w:type="paragraph" w:customStyle="1" w:styleId="ArtifactSubtitle">
    <w:name w:val="Artifact Subtitle"/>
    <w:rPr>
      <w:rFonts w:ascii="Calibri" w:hAnsi="Calibri" w:cs="Nirmala UI"/>
      <w:b w:val="0"/>
      <w:color w:val="5F6B73"/>
      <w:sz w:val="26"/>
    </w:rPr>
  </w:style>
  <w:style w:type="paragraph" w:customStyle="1" w:styleId="ExecutiveSummary">
    <w:name w:val="Executive Summary"/>
    <w:rPr>
      <w:rFonts w:ascii="Calibri" w:hAnsi="Calibri" w:cs="Nirmala UI"/>
      <w:b w:val="0"/>
      <w:color w:val="182026"/>
      <w:sz w:val="22"/>
    </w:rPr>
  </w:style>
  <w:style w:type="paragraph" w:customStyle="1" w:styleId="TableHeader">
    <w:name w:val="Table Header"/>
    <w:pPr>
      <w:spacing w:after="80"/>
    </w:pPr>
    <w:rPr>
      <w:rFonts w:ascii="Calibri" w:hAnsi="Calibri" w:cs="Nirmala UI"/>
      <w:b/>
      <w:color w:val="FFFFFF"/>
      <w:sz w:val="20"/>
    </w:rPr>
  </w:style>
  <w:style w:type="paragraph" w:customStyle="1" w:styleId="TableBody">
    <w:name w:val="Table Body"/>
    <w:pPr>
      <w:spacing w:after="80"/>
    </w:pPr>
    <w:rPr>
      <w:rFonts w:ascii="Calibri" w:hAnsi="Calibri" w:cs="Nirmala UI"/>
      <w:b w:val="0"/>
      <w:color w:val="182026"/>
      <w:sz w:val="20"/>
    </w:rPr>
  </w:style>
  <w:style w:type="paragraph" w:customStyle="1" w:styleId="Callout">
    <w:name w:val="Callout"/>
  </w:style>
  <w:style w:type="paragraph" w:customStyle="1" w:styleId="Signature">
    <w:name w:val="Signature"/>
  </w:style>
  <w:style w:type="paragraph" w:customStyle="1" w:styleId="Appendix">
    <w:name w:val="Appendix"/>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Nirmala U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Nirmala U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Nirmala U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Nirmala U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Nirmala U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Nirmala U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Nirmala U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Nirmala U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Nirmala U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Nirmala U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Nirmala U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Nirmala U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Nirmala U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Nirmala U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Nirmala U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Nirmala U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Nirmala U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New" w:hAnsi="Courier New" w:cs="Nirmala UI"/>
      <w:sz w:val="20"/>
      <w:szCs w:val="20"/>
    </w:rPr>
  </w:style>
  <w:style w:type="character" w:customStyle="1" w:styleId="MacroTextChar">
    <w:name w:val="Macro Text Char"/>
    <w:basedOn w:val="DefaultParagraphFont"/>
    <w:link w:val="MacroText"/>
    <w:uiPriority w:val="99"/>
    <w:rsid w:val="0029639D"/>
    <w:rPr>
      <w:rFonts w:ascii="Courier New" w:hAnsi="Courier New" w:cs="Nirmala U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Nirmala U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Nirmala U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Nirmala U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Nirmala U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Nirmala U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Nirmala U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Nirmala U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Nirmala U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Nirmala UI"/>
        <w:b/>
        <w:bCs/>
      </w:rPr>
    </w:tblStylePr>
    <w:tblStylePr w:type="lastCol">
      <w:rPr>
        <w:rFonts w:ascii="Calibri" w:hAnsi="Calibri" w:eastAsia="Calibri" w:cs="Nirmala U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Nirmala U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Nirmala U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Nirmala UI"/>
        <w:b/>
        <w:bCs/>
      </w:rPr>
    </w:tblStylePr>
    <w:tblStylePr w:type="lastCol">
      <w:rPr>
        <w:rFonts w:ascii="Calibri" w:hAnsi="Calibri" w:eastAsia="Calibri" w:cs="Nirmala U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Nirmala U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Nirmala U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Nirmala UI"/>
        <w:b/>
        <w:bCs/>
      </w:rPr>
    </w:tblStylePr>
    <w:tblStylePr w:type="lastCol">
      <w:rPr>
        <w:rFonts w:ascii="Calibri" w:hAnsi="Calibri" w:eastAsia="Calibri" w:cs="Nirmala U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Nirmala U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Nirmala U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Nirmala UI"/>
        <w:b/>
        <w:bCs/>
      </w:rPr>
    </w:tblStylePr>
    <w:tblStylePr w:type="lastCol">
      <w:rPr>
        <w:rFonts w:ascii="Calibri" w:hAnsi="Calibri" w:eastAsia="Calibri" w:cs="Nirmala U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Nirmala U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Nirmala U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Nirmala UI"/>
        <w:b/>
        <w:bCs/>
      </w:rPr>
    </w:tblStylePr>
    <w:tblStylePr w:type="lastCol">
      <w:rPr>
        <w:rFonts w:ascii="Calibri" w:hAnsi="Calibri" w:eastAsia="Calibri" w:cs="Nirmala U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Nirmala U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Nirmala U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Nirmala UI"/>
        <w:b/>
        <w:bCs/>
      </w:rPr>
    </w:tblStylePr>
    <w:tblStylePr w:type="lastCol">
      <w:rPr>
        <w:rFonts w:ascii="Calibri" w:hAnsi="Calibri" w:eastAsia="Calibri" w:cs="Nirmala U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Nirmala U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Nirmala U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Nirmala UI"/>
        <w:b/>
        <w:bCs/>
      </w:rPr>
    </w:tblStylePr>
    <w:tblStylePr w:type="lastCol">
      <w:rPr>
        <w:rFonts w:ascii="Calibri" w:hAnsi="Calibri" w:eastAsia="Calibri" w:cs="Nirmala U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Nirmala U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Nirmala U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Nirmala U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Nirmala U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Nirmala U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Nirmala U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Nirmala U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Nirmala UI"/>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Nirmala UI"/>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Agreement Review Note: Sharma Traders &amp; Gupta Electricals</dc:title>
  <dc:subject>docx_report</dc:subject>
  <dc:creator>ZenithAI</dc:creator>
  <cp:keywords/>
  <dc:description>generated by python-docx</dc:description>
  <cp:lastModifiedBy>ZenithAI</cp:lastModifiedBy>
  <cp:revision>1</cp:revision>
  <dcterms:created xsi:type="dcterms:W3CDTF">2013-12-23T23:15:00Z</dcterms:created>
  <dcterms:modified xsi:type="dcterms:W3CDTF">2013-12-23T23:15:00Z</dcterms:modified>
  <cp:category/>
</cp:coreProperties>
</file>