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Service Agreement Review Note: Sharma Traders &amp; Gupta Electricals</w:t>
      </w:r>
    </w:p>
    <w:p>
      <w:pPr>
        <w:pStyle w:val="Caption"/>
      </w:pPr>
      <w:r>
        <w:rPr>
          <w:b/>
        </w:rPr>
        <w:t xml:space="preserve">Prepared for: </w:t>
      </w:r>
      <w:r>
        <w:t>Legal and Operations Management</w:t>
      </w:r>
    </w:p>
    <w:p>
      <w:pPr>
        <w:pStyle w:val="Heading1"/>
        <w:keepNext/>
      </w:pPr>
      <w:r>
        <w:t>Contractual Overview and Financial Obligations</w:t>
      </w:r>
    </w:p>
    <w:p>
      <w:pPr/>
      <w:r>
        <w:t>This review note summarizes the Service Agreement established between Sharma Traders and Gupta Electricals. The primary objective of this contract is to provide comprehensive maintenance services for electrical fittings located at the Client's warehouse facility. The agreement establishes a formal framework for operational upkeep, ensuring that all electrical infrastructure remains functional and compliant with safety standards throughout the duration of the engagement.</w:t>
      </w:r>
    </w:p>
    <w:p>
      <w:pPr/>
      <w:r>
        <w:t>The service term is defined as 12 months, commencing on 01-10-2026. A significant administrative feature of this contract is the automatic renewal clause, which ensures continuity of services beyond the initial term unless specific actions are taken by either party. To facilitate a structured exit or transition, the agreement mandates a 90-day notice period for termination, providing both entities with sufficient lead time to arrange for alternative service providers or internal adjustments.</w:t>
      </w:r>
    </w:p>
    <w:p>
      <w:pPr/>
      <w:r>
        <w:t>Financial obligations under this agreement are divided into fixed annual costs and variable penalties. The primary consideration is an annual fee of Rs 2,40,000, which covers the standard maintenance scope. However, the contract includes a specific penalty structure regarding punctuality. If the Contractor fails to arrive for a scheduled visit on time, they are subject to a daily fine of Rs 5,000.</w:t>
      </w:r>
    </w:p>
    <w:p>
      <w:pPr/>
      <w:r>
        <w:t>From a risk management perspective, the late visit penalty is a critical point of concern. The agreement specifies that there is no upper limit on these daily charges. This means that prolonged delays in attending to warehouse maintenance could lead to substantial and compounding financial liabilities for Gupta Electricals. It is assumed that both parties have agreed to these terms as part of the standard service level requirements for high-priority warehouse operations.</w:t>
      </w:r>
    </w:p>
    <w:tbl>
      <w:tblPr>
        <w:tblStyle w:val="TableGrid"/>
        <w:tblW w:type="auto" w:w="0"/>
        <w:tblLook w:firstColumn="1" w:firstRow="1" w:lastColumn="0" w:lastRow="0" w:noHBand="0" w:noVBand="1" w:val="04A0"/>
      </w:tblPr>
      <w:tblGrid>
        <w:gridCol w:w="4945"/>
        <w:gridCol w:w="4945"/>
      </w:tblGrid>
      <w:tr>
        <w:trPr>
          <w:tblHeader/>
        </w:trPr>
        <w:tc>
          <w:tcPr>
            <w:tcW w:type="dxa" w:w="4945"/>
            <w:shd w:fill="124E66"/>
          </w:tcPr>
          <w:p>
            <w:pPr>
              <w:pStyle w:val="TableHeader"/>
            </w:pPr>
            <w:r>
              <w:t>Category</w:t>
            </w:r>
          </w:p>
        </w:tc>
        <w:tc>
          <w:tcPr>
            <w:tcW w:type="dxa" w:w="4945"/>
            <w:shd w:fill="124E66"/>
          </w:tcPr>
          <w:p>
            <w:pPr>
              <w:pStyle w:val="TableHeader"/>
            </w:pPr>
            <w:r>
              <w:t>Details</w:t>
            </w:r>
          </w:p>
        </w:tc>
      </w:tr>
      <w:tr>
        <w:tc>
          <w:tcPr>
            <w:tcW w:type="dxa" w:w="4945"/>
          </w:tcPr>
          <w:p>
            <w:pPr>
              <w:pStyle w:val="TableBody"/>
            </w:pPr>
            <w:r/>
            <w:r>
              <w:t>Parties Involved</w:t>
            </w:r>
          </w:p>
        </w:tc>
        <w:tc>
          <w:tcPr>
            <w:tcW w:type="dxa" w:w="4945"/>
          </w:tcPr>
          <w:p>
            <w:pPr>
              <w:pStyle w:val="TableBody"/>
            </w:pPr>
            <w:r/>
            <w:r>
              <w:t>Sharma Traders and Gupta Electricals</w:t>
            </w:r>
          </w:p>
        </w:tc>
      </w:tr>
      <w:tr>
        <w:tc>
          <w:tcPr>
            <w:tcW w:type="dxa" w:w="4945"/>
            <w:shd w:fill="FFFFFF"/>
          </w:tcPr>
          <w:p>
            <w:pPr>
              <w:pStyle w:val="TableBody"/>
            </w:pPr>
            <w:r/>
            <w:r>
              <w:t>Commencement Date</w:t>
            </w:r>
          </w:p>
        </w:tc>
        <w:tc>
          <w:tcPr>
            <w:tcW w:type="dxa" w:w="4945"/>
            <w:shd w:fill="FFFFFF"/>
          </w:tcPr>
          <w:p>
            <w:pPr>
              <w:pStyle w:val="TableBody"/>
            </w:pPr>
            <w:r/>
            <w:r>
              <w:t>01-10-2026</w:t>
            </w:r>
          </w:p>
        </w:tc>
      </w:tr>
      <w:tr>
        <w:tc>
          <w:tcPr>
            <w:tcW w:type="dxa" w:w="4945"/>
          </w:tcPr>
          <w:p>
            <w:pPr>
              <w:pStyle w:val="TableBody"/>
            </w:pPr>
            <w:r/>
            <w:r>
              <w:t>Annual Service Fee</w:t>
            </w:r>
          </w:p>
        </w:tc>
        <w:tc>
          <w:tcPr>
            <w:tcW w:type="dxa" w:w="4945"/>
          </w:tcPr>
          <w:p>
            <w:pPr>
              <w:pStyle w:val="TableBody"/>
            </w:pPr>
            <w:r/>
            <w:r>
              <w:t>Rs 2,40,000 per year</w:t>
            </w:r>
          </w:p>
        </w:tc>
      </w:tr>
      <w:tr>
        <w:tc>
          <w:tcPr>
            <w:tcW w:type="dxa" w:w="4945"/>
            <w:shd w:fill="FFFFFF"/>
          </w:tcPr>
          <w:p>
            <w:pPr>
              <w:pStyle w:val="TableBody"/>
            </w:pPr>
            <w:r/>
            <w:r>
              <w:t>Late Visit Penalty</w:t>
            </w:r>
          </w:p>
        </w:tc>
        <w:tc>
          <w:tcPr>
            <w:tcW w:type="dxa" w:w="4945"/>
            <w:shd w:fill="FFFFFF"/>
          </w:tcPr>
          <w:p>
            <w:pPr>
              <w:pStyle w:val="TableBody"/>
            </w:pPr>
            <w:r/>
            <w:r>
              <w:t>Rs 5,000 per day (No upper limit)</w:t>
            </w:r>
          </w:p>
        </w:tc>
      </w:tr>
      <w:tr>
        <w:tc>
          <w:tcPr>
            <w:tcW w:type="dxa" w:w="4945"/>
          </w:tcPr>
          <w:p>
            <w:pPr>
              <w:pStyle w:val="TableBody"/>
            </w:pPr>
            <w:r/>
            <w:r>
              <w:t>Termination Notice</w:t>
            </w:r>
          </w:p>
        </w:tc>
        <w:tc>
          <w:tcPr>
            <w:tcW w:type="dxa" w:w="4945"/>
          </w:tcPr>
          <w:p>
            <w:pPr>
              <w:pStyle w:val="TableBody"/>
            </w:pPr>
            <w:r/>
            <w:r>
              <w:t>90 days</w:t>
            </w:r>
          </w:p>
        </w:tc>
      </w:tr>
    </w:tbl>
    <w:sectPr w:rsidR="00FC693F" w:rsidRPr="0006063C" w:rsidSect="00034616">
      <w:headerReference w:type="default" r:id="rId9"/>
      <w:footerReference w:type="default" r:id="rId10"/>
      <w:pgSz w:w="11906" w:h="16838"/>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Service Agreement Review Note: Sharma Traders &amp; Gupta Electricals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Nirmala U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Calibri" w:hAnsi="Calibri" w:cs="Nirmala U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Nirmala UI"/>
      <w:b/>
      <w:bCs/>
      <w:color w:val="124E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Nirmala UI"/>
      <w:b/>
      <w:bCs/>
      <w:color w:val="124E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Nirmala UI"/>
      <w:b/>
      <w:bCs/>
      <w:color w:val="124E6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Nirmala U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Nirmala U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Nirmala U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Nirmala U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Nirmala U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Nirmala U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Nirmala U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Nirmala U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Nirmala U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Calibri" w:hAnsi="Calibri" w:eastAsia="Calibri" w:cs="Nirmala UI"/>
      <w:color w:val="000000"/>
      <w:spacing w:val="5"/>
      <w:kern w:val="28"/>
      <w:sz w:val="44"/>
      <w:szCs w:val="52"/>
    </w:rPr>
  </w:style>
  <w:style w:type="character" w:customStyle="1" w:styleId="TitleChar">
    <w:name w:val="Title Char"/>
    <w:basedOn w:val="DefaultParagraphFont"/>
    <w:link w:val="Title"/>
    <w:uiPriority w:val="10"/>
    <w:rsid w:val="00FC693F"/>
    <w:rPr>
      <w:rFonts w:ascii="Calibri" w:hAnsi="Calibri" w:eastAsia="Calibri" w:cs="Nirmala U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Nirmala U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Nirmala U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New" w:hAnsi="Courier New" w:cs="Nirmala UI"/>
      <w:sz w:val="20"/>
      <w:szCs w:val="20"/>
    </w:rPr>
  </w:style>
  <w:style w:type="character" w:customStyle="1" w:styleId="MacroTextChar">
    <w:name w:val="Macro Text Char"/>
    <w:basedOn w:val="DefaultParagraphFont"/>
    <w:link w:val="MacroText"/>
    <w:uiPriority w:val="99"/>
    <w:rsid w:val="0029639D"/>
    <w:rPr>
      <w:rFonts w:ascii="Courier New" w:hAnsi="Courier New" w:cs="Nirmala U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Nirmala U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Nirmala U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Nirmala U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Nirmala U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Nirmala U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Nirmala U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Nirmala UI"/>
      <w:b w:val="0"/>
      <w:bCs/>
      <w:color w:val="5F6B73"/>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Nirmala U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Nirmala U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Nirmala U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Nirmala U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Nirmala U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Nirmala U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Nirmala U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factTitle">
    <w:name w:val="Artifact Title"/>
    <w:rPr>
      <w:rFonts w:ascii="Calibri" w:hAnsi="Calibri" w:cs="Nirmala UI"/>
      <w:b/>
      <w:color w:val="124E66"/>
      <w:sz w:val="56"/>
    </w:rPr>
  </w:style>
  <w:style w:type="paragraph" w:customStyle="1" w:styleId="ArtifactSubtitle">
    <w:name w:val="Artifact Subtitle"/>
    <w:rPr>
      <w:rFonts w:ascii="Calibri" w:hAnsi="Calibri" w:cs="Nirmala UI"/>
      <w:b w:val="0"/>
      <w:color w:val="5F6B73"/>
      <w:sz w:val="26"/>
    </w:rPr>
  </w:style>
  <w:style w:type="paragraph" w:customStyle="1" w:styleId="ExecutiveSummary">
    <w:name w:val="Executive Summary"/>
    <w:rPr>
      <w:rFonts w:ascii="Calibri" w:hAnsi="Calibri" w:cs="Nirmala UI"/>
      <w:b w:val="0"/>
      <w:color w:val="182026"/>
      <w:sz w:val="22"/>
    </w:rPr>
  </w:style>
  <w:style w:type="paragraph" w:customStyle="1" w:styleId="TableHeader">
    <w:name w:val="Table Header"/>
    <w:pPr>
      <w:spacing w:after="80"/>
    </w:pPr>
    <w:rPr>
      <w:rFonts w:ascii="Calibri" w:hAnsi="Calibri" w:cs="Nirmala UI"/>
      <w:b/>
      <w:color w:val="FFFFFF"/>
      <w:sz w:val="20"/>
    </w:rPr>
  </w:style>
  <w:style w:type="paragraph" w:customStyle="1" w:styleId="TableBody">
    <w:name w:val="Table Body"/>
    <w:pPr>
      <w:spacing w:after="80"/>
    </w:pPr>
    <w:rPr>
      <w:rFonts w:ascii="Calibri" w:hAnsi="Calibri" w:cs="Nirmala UI"/>
      <w:b w:val="0"/>
      <w:color w:val="182026"/>
      <w:sz w:val="20"/>
    </w:rPr>
  </w:style>
  <w:style w:type="paragraph" w:customStyle="1" w:styleId="Callout">
    <w:name w:val="Callout"/>
  </w:style>
  <w:style w:type="paragraph" w:customStyle="1" w:styleId="Signature">
    <w:name w:val="Signature"/>
  </w:style>
  <w:style w:type="paragraph" w:customStyle="1" w:styleId="Appendix">
    <w:name w:val="Appendix"/>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Nirmala U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Nirmala U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Nirmala U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Nirmala U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Nirmala U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Nirmala U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Nirmala U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Nirmala U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Nirmala U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Nirmala U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Nirmala U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Nirmala U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Nirmala U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Nirmala U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Nirmala U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Nirmala U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Nirmala U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New" w:hAnsi="Courier New" w:cs="Nirmala UI"/>
      <w:sz w:val="20"/>
      <w:szCs w:val="20"/>
    </w:rPr>
  </w:style>
  <w:style w:type="character" w:customStyle="1" w:styleId="MacroTextChar">
    <w:name w:val="Macro Text Char"/>
    <w:basedOn w:val="DefaultParagraphFont"/>
    <w:link w:val="MacroText"/>
    <w:uiPriority w:val="99"/>
    <w:rsid w:val="0029639D"/>
    <w:rPr>
      <w:rFonts w:ascii="Courier New" w:hAnsi="Courier New" w:cs="Nirmala U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Nirmala U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Nirmala U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Nirmala U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Nirmala U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Nirmala U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Nirmala U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Nirmala U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Nirmala U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Nirmala U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Nirmala U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Nirmala U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Nirmala U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Nirmala U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Nirmala U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Nirmala UI"/>
        <w:b/>
        <w:bCs/>
      </w:rPr>
    </w:tblStylePr>
    <w:tblStylePr w:type="lastCol">
      <w:rPr>
        <w:rFonts w:ascii="Calibri" w:hAnsi="Calibri" w:eastAsia="Calibri" w:cs="Nirmala U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Nirmala U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Nirmala U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Nirmala UI"/>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Nirmala UI"/>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Agreement Review Note: Sharma Traders &amp; Gupta Electricals</dc:title>
  <dc:subject>docx_report</dc:subject>
  <dc:creator>ZenithAI</dc:creator>
  <cp:keywords/>
  <dc:description>generated by python-docx</dc:description>
  <cp:lastModifiedBy>ZenithAI</cp:lastModifiedBy>
  <cp:revision>1</cp:revision>
  <dcterms:created xsi:type="dcterms:W3CDTF">2013-12-23T23:15:00Z</dcterms:created>
  <dcterms:modified xsi:type="dcterms:W3CDTF">2013-12-23T23:15:00Z</dcterms:modified>
  <cp:category/>
</cp:coreProperties>
</file>